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22A" w:rsidRDefault="00F91DB7" w:rsidP="006E7893">
      <w:bookmarkStart w:id="0" w:name="_GoBack"/>
      <w:bookmarkEnd w:id="0"/>
      <w:r>
        <w:t xml:space="preserve">Policy Issues Regarding </w:t>
      </w:r>
      <w:r w:rsidR="00D37C68">
        <w:t>Alternative Developmental-to-</w:t>
      </w:r>
      <w:r>
        <w:t>Transfer</w:t>
      </w:r>
      <w:r w:rsidR="00D37C68">
        <w:t>-level</w:t>
      </w:r>
      <w:r>
        <w:t xml:space="preserve"> Math</w:t>
      </w:r>
      <w:r w:rsidR="00D37C68">
        <w:t>ematics</w:t>
      </w:r>
      <w:r>
        <w:t xml:space="preserve"> Pathways</w:t>
      </w:r>
    </w:p>
    <w:p w:rsidR="00F91DB7" w:rsidRDefault="00F91DB7" w:rsidP="0072453F">
      <w:pPr>
        <w:spacing w:after="0"/>
      </w:pPr>
      <w:r>
        <w:t>Beth Smith, Vice President</w:t>
      </w:r>
    </w:p>
    <w:p w:rsidR="00F91DB7" w:rsidRDefault="00F91DB7" w:rsidP="0072453F">
      <w:pPr>
        <w:spacing w:after="0"/>
      </w:pPr>
      <w:r>
        <w:t>Phil Smith, At-Large Representative</w:t>
      </w:r>
    </w:p>
    <w:p w:rsidR="0072453F" w:rsidRDefault="0072453F" w:rsidP="0072453F">
      <w:pPr>
        <w:spacing w:after="0"/>
      </w:pPr>
    </w:p>
    <w:p w:rsidR="00F70514" w:rsidRDefault="006B4A50">
      <w:r>
        <w:t xml:space="preserve">At the Fall 2012 plenary session, three resolutions were brought forward asking the body to endorse a particular curriculum pathway in developmental mathematics. </w:t>
      </w:r>
      <w:r w:rsidR="009175C5">
        <w:t>In various discussions</w:t>
      </w:r>
      <w:r w:rsidR="00C129BB">
        <w:t>, t</w:t>
      </w:r>
      <w:r>
        <w:t>here w</w:t>
      </w:r>
      <w:r w:rsidR="00C129BB">
        <w:t xml:space="preserve">ere a number of questions raised about what </w:t>
      </w:r>
      <w:r w:rsidR="009175C5">
        <w:t>mathematics professional organizations like the California Mathematics Council Community Colleges (CMC</w:t>
      </w:r>
      <w:r w:rsidR="003B43AF" w:rsidRPr="003B43AF">
        <w:rPr>
          <w:vertAlign w:val="superscript"/>
        </w:rPr>
        <w:t>3</w:t>
      </w:r>
      <w:r w:rsidR="009175C5">
        <w:t>) and CMC</w:t>
      </w:r>
      <w:r w:rsidR="003B43AF" w:rsidRPr="003B43AF">
        <w:rPr>
          <w:vertAlign w:val="superscript"/>
        </w:rPr>
        <w:t>3</w:t>
      </w:r>
      <w:r w:rsidR="009175C5">
        <w:t xml:space="preserve">–South think about the innovation, what implications the innovation might have </w:t>
      </w:r>
      <w:r w:rsidR="00E51417">
        <w:t>on existing policies and regulations (</w:t>
      </w:r>
      <w:r w:rsidR="00F70514">
        <w:t>e.g.,</w:t>
      </w:r>
      <w:r w:rsidR="00E51417">
        <w:t xml:space="preserve"> the graduation competency requirement in mathematics) and transfer agreements with four-year universities, and whether the Academic Senate should even take positions on particular</w:t>
      </w:r>
      <w:r w:rsidR="00F70514">
        <w:t>,</w:t>
      </w:r>
      <w:r w:rsidR="00E51417">
        <w:t xml:space="preserve"> with</w:t>
      </w:r>
      <w:r w:rsidR="00F70514">
        <w:t>in-</w:t>
      </w:r>
      <w:r w:rsidR="00E51417">
        <w:t>discipline curriculum initiatives.</w:t>
      </w:r>
      <w:r w:rsidR="00471DD8">
        <w:t xml:space="preserve"> </w:t>
      </w:r>
      <w:r w:rsidR="00E51417">
        <w:t>The body referred the resolutions to the Executive Committee until such a time that the mathematics professional organization can weigh in. The purpose of this articl</w:t>
      </w:r>
      <w:r w:rsidR="00F70514">
        <w:t>e then is to address the last two questions.</w:t>
      </w:r>
    </w:p>
    <w:p w:rsidR="009175C5" w:rsidRDefault="00F70514">
      <w:r>
        <w:t xml:space="preserve">Perhaps it is most useful to consider the general </w:t>
      </w:r>
      <w:r w:rsidR="007B4CF0">
        <w:t>question first: w</w:t>
      </w:r>
      <w:r>
        <w:t>hat role, if any, should the Academic Senate take upon itself in relation to curricular innovations within a particular discipline or field? A review of existing resolutions reveals that the Academic Senate generally takes positions on broad issues and procedures re</w:t>
      </w:r>
      <w:r w:rsidR="007B4CF0">
        <w:t>lated to curriculum as a whole,</w:t>
      </w:r>
      <w:r>
        <w:t xml:space="preserve"> but</w:t>
      </w:r>
      <w:r w:rsidR="007B4CF0">
        <w:t xml:space="preserve"> the body</w:t>
      </w:r>
      <w:r>
        <w:t xml:space="preserve"> has been hesitant a</w:t>
      </w:r>
      <w:r w:rsidR="007B4CF0">
        <w:t>bout taking positions within a subject. That’s not to say that Senate has never taken such positions; it’s just that when considering the totality of resolutions</w:t>
      </w:r>
      <w:r w:rsidR="00B32B2B">
        <w:t>,</w:t>
      </w:r>
      <w:r w:rsidR="007B4CF0">
        <w:t xml:space="preserve"> we’ve </w:t>
      </w:r>
      <w:r w:rsidR="00244102" w:rsidRPr="00244102">
        <w:t xml:space="preserve">largely </w:t>
      </w:r>
      <w:r w:rsidR="007B4CF0">
        <w:t>been content to leave curriculum and instructional choices to subject matter faculty</w:t>
      </w:r>
      <w:r w:rsidR="00970764">
        <w:t xml:space="preserve">. When the body has taken such positions on curricular innovations in a discipline, it is often to disseminate information (e.g., 13.01 (Fall 2011) </w:t>
      </w:r>
      <w:r w:rsidR="003B43AF" w:rsidRPr="003B43AF">
        <w:rPr>
          <w:i/>
        </w:rPr>
        <w:t>Coordinating a Model of Basic Skills Instruction Through Implementation of the ERWC</w:t>
      </w:r>
      <w:r w:rsidR="00970764">
        <w:t xml:space="preserve">) or to support research in various curricular approaches (e.g., 9.07 (Spring 2000) </w:t>
      </w:r>
      <w:r w:rsidR="003B43AF" w:rsidRPr="003B43AF">
        <w:rPr>
          <w:i/>
        </w:rPr>
        <w:t>Mathematics—Global Approach</w:t>
      </w:r>
      <w:r w:rsidR="00970764">
        <w:t>)</w:t>
      </w:r>
      <w:r w:rsidR="00E22FBA">
        <w:t>, not to endorse one approach over others</w:t>
      </w:r>
      <w:r w:rsidR="00970764">
        <w:t>.</w:t>
      </w:r>
      <w:r w:rsidR="00E22FBA">
        <w:t xml:space="preserve"> Indeed, endorsement or advocacy of a particular curricular approach would go against long standing Academic Senate positions supporting local decision-making in matters of curriculum and instruction.</w:t>
      </w:r>
    </w:p>
    <w:p w:rsidR="00244102" w:rsidRDefault="00B32078">
      <w:r>
        <w:t xml:space="preserve">The Academic Senate </w:t>
      </w:r>
      <w:r w:rsidR="000323AF">
        <w:t>does</w:t>
      </w:r>
      <w:r>
        <w:t xml:space="preserve">, however, </w:t>
      </w:r>
      <w:r w:rsidR="000323AF">
        <w:t>take</w:t>
      </w:r>
      <w:r>
        <w:t xml:space="preserve"> positions on graduation requirements and transfer procedures</w:t>
      </w:r>
      <w:r w:rsidR="000323AF">
        <w:t>, especia</w:t>
      </w:r>
      <w:r w:rsidR="00B32B2B">
        <w:t>lly in regards to certification</w:t>
      </w:r>
      <w:r w:rsidR="000323AF">
        <w:t xml:space="preserve"> of basic skills competency in reading, writing, and mathematics. In part, this is due to the unique place that community colleges hold in the educational system. In order to graduate from high school, students must demonstrate a certain level of proficiency in these key </w:t>
      </w:r>
      <w:r w:rsidR="00403715">
        <w:t>subjects</w:t>
      </w:r>
      <w:r w:rsidR="000323AF">
        <w:t xml:space="preserve">, and virtually every four-year college and university sets specific reading, writing, and mathematics entrance requirements. </w:t>
      </w:r>
      <w:r w:rsidR="00403715">
        <w:t>Situated between these two systems</w:t>
      </w:r>
      <w:r w:rsidR="000323AF">
        <w:t xml:space="preserve">, California </w:t>
      </w:r>
      <w:r w:rsidR="00403715">
        <w:t>community colleges</w:t>
      </w:r>
      <w:r w:rsidR="00B01AF9">
        <w:t>, as open access institutions,</w:t>
      </w:r>
      <w:r w:rsidR="00403715">
        <w:t xml:space="preserve"> do not have entrance requirements, but students are expected to attain </w:t>
      </w:r>
      <w:r w:rsidR="00B01AF9">
        <w:t>these fundamental skills prior t</w:t>
      </w:r>
      <w:r w:rsidR="0096164F">
        <w:t>o graduation. For this reason, Education Code and Title 5 regulations specifically require reading, writing, and mathematics competency for a</w:t>
      </w:r>
      <w:r w:rsidR="00117014">
        <w:t xml:space="preserve">ll degrees. For community college students seeking transfer, our four-year partners have similarly set an expected level of reading, writing, and mathematics achievement. </w:t>
      </w:r>
      <w:r w:rsidR="007B3E29">
        <w:t>And, o</w:t>
      </w:r>
      <w:r w:rsidR="00117014">
        <w:t>ver the years, the Academic Senate for California Community Colleges, as the faculty voice on academic and professional matters, has taken numerous positi</w:t>
      </w:r>
      <w:r w:rsidR="00276BD4">
        <w:t xml:space="preserve">ons on </w:t>
      </w:r>
      <w:r w:rsidR="000A489C">
        <w:t xml:space="preserve">expectations for </w:t>
      </w:r>
      <w:r w:rsidR="00276BD4">
        <w:t>reading, writing, and mathematics to</w:t>
      </w:r>
      <w:r w:rsidR="00471DD8">
        <w:t xml:space="preserve"> </w:t>
      </w:r>
      <w:r w:rsidR="00B32B2B">
        <w:t xml:space="preserve">ensure students are </w:t>
      </w:r>
      <w:r w:rsidR="00B32B2B">
        <w:lastRenderedPageBreak/>
        <w:t>prepared for college</w:t>
      </w:r>
      <w:r w:rsidR="004813DF">
        <w:t>-</w:t>
      </w:r>
      <w:r w:rsidR="00B32B2B">
        <w:t>level work.</w:t>
      </w:r>
      <w:r w:rsidR="005739A6">
        <w:t xml:space="preserve"> But w</w:t>
      </w:r>
      <w:r w:rsidR="00B953EE">
        <w:t xml:space="preserve">hat if a curricular innovation </w:t>
      </w:r>
      <w:r w:rsidR="003038D7">
        <w:t>butted up against, or called into question,</w:t>
      </w:r>
      <w:r w:rsidR="00B953EE">
        <w:t xml:space="preserve"> existing </w:t>
      </w:r>
      <w:r w:rsidR="003038D7">
        <w:t>policies, regulations, and Senate positions related to mathematics (or reading or writing</w:t>
      </w:r>
      <w:r w:rsidR="00536927">
        <w:t xml:space="preserve">) proficiency? That is precisely the situation embodied by the resolutions which </w:t>
      </w:r>
      <w:r w:rsidR="00B32B2B">
        <w:t>were r</w:t>
      </w:r>
      <w:r w:rsidR="00536927">
        <w:t>eferred at the last plenary session.</w:t>
      </w:r>
      <w:r w:rsidR="00E76C48">
        <w:t xml:space="preserve"> </w:t>
      </w:r>
    </w:p>
    <w:p w:rsidR="00244102" w:rsidRDefault="00A249D8">
      <w:pPr>
        <w:rPr>
          <w:b/>
        </w:rPr>
      </w:pPr>
      <w:r>
        <w:rPr>
          <w:b/>
        </w:rPr>
        <w:t xml:space="preserve">Developmental Math: </w:t>
      </w:r>
      <w:r w:rsidR="003B43AF" w:rsidRPr="003B43AF">
        <w:rPr>
          <w:b/>
        </w:rPr>
        <w:t>Pump or Filter</w:t>
      </w:r>
      <w:r w:rsidR="00621DFE">
        <w:rPr>
          <w:b/>
        </w:rPr>
        <w:t>?</w:t>
      </w:r>
      <w:r w:rsidR="00471DD8">
        <w:rPr>
          <w:b/>
        </w:rPr>
        <w:t xml:space="preserve"> </w:t>
      </w:r>
    </w:p>
    <w:p w:rsidR="00C21C3B" w:rsidRDefault="00621DFE">
      <w:r>
        <w:t xml:space="preserve">In the late 80s, the calculus reform movement began with the publication of a series of papers entitled Calculus for a New Century: A Pump, Not a Filter. The central thesis of the book was that the calculus sequence as taught at the time wasn’t increasing the number of </w:t>
      </w:r>
      <w:r w:rsidR="00D472FF">
        <w:t>Science-Technology-Engineering-</w:t>
      </w:r>
      <w:r>
        <w:t>Mathematics (STEM) graduates</w:t>
      </w:r>
      <w:r w:rsidR="00D472FF">
        <w:t>. I</w:t>
      </w:r>
      <w:r>
        <w:t xml:space="preserve">nstead of a serving as a pump, enticing students into the field, it was acting as a filter, keeping students out. </w:t>
      </w:r>
      <w:r w:rsidR="00D472FF">
        <w:t xml:space="preserve">A similar argument </w:t>
      </w:r>
      <w:r w:rsidR="005739A6">
        <w:t xml:space="preserve">has </w:t>
      </w:r>
      <w:r w:rsidR="00D472FF">
        <w:t>be</w:t>
      </w:r>
      <w:r w:rsidR="005739A6">
        <w:t>en</w:t>
      </w:r>
      <w:r w:rsidR="00D472FF">
        <w:t xml:space="preserve"> made </w:t>
      </w:r>
      <w:r w:rsidR="005739A6">
        <w:t xml:space="preserve">about </w:t>
      </w:r>
      <w:r w:rsidR="00D472FF">
        <w:t xml:space="preserve">the developmental mathematics sequence. </w:t>
      </w:r>
      <w:r w:rsidR="0072453F">
        <w:t>Year after year, data show that many students struggle to complete the developmental sequence of math courses at community colleges</w:t>
      </w:r>
      <w:r w:rsidR="00692E9A">
        <w:t xml:space="preserve">. Reformers </w:t>
      </w:r>
      <w:r w:rsidR="005739A6">
        <w:t xml:space="preserve">point out </w:t>
      </w:r>
      <w:r w:rsidR="00692E9A">
        <w:t xml:space="preserve">that, for those starting in the lowest level of mathematics (arithmetic or pre-algebra), research </w:t>
      </w:r>
      <w:r w:rsidR="005739A6">
        <w:t xml:space="preserve">indicates </w:t>
      </w:r>
      <w:r w:rsidR="00692E9A">
        <w:t xml:space="preserve">that the likelihood of students reaching a college-level mathematics course is dauntingly low. </w:t>
      </w:r>
      <w:r w:rsidR="00C21C3B">
        <w:t>They conjecture that e</w:t>
      </w:r>
      <w:r w:rsidR="00692E9A">
        <w:t xml:space="preserve">ach </w:t>
      </w:r>
      <w:r w:rsidR="00C21C3B">
        <w:t xml:space="preserve">enrollment in a remedial course offers another chance to fail, an exit-ramp rather on-ramp. </w:t>
      </w:r>
    </w:p>
    <w:p w:rsidR="0072453F" w:rsidRDefault="00C21C3B">
      <w:r>
        <w:t>As a possible innovation, reformers propose that the number of remedial courses be reduced. This suggestion, in and of itself, is not problematic</w:t>
      </w:r>
      <w:r w:rsidR="00727CE2">
        <w:t xml:space="preserve"> from a policy point of view as long as the topics being taught are essentially the same</w:t>
      </w:r>
      <w:r>
        <w:t xml:space="preserve">. </w:t>
      </w:r>
      <w:r w:rsidR="007E6A3F">
        <w:t>Discipline</w:t>
      </w:r>
      <w:r>
        <w:t xml:space="preserve"> </w:t>
      </w:r>
      <w:proofErr w:type="gramStart"/>
      <w:r>
        <w:t>faculty are</w:t>
      </w:r>
      <w:proofErr w:type="gramEnd"/>
      <w:r>
        <w:t xml:space="preserve"> always tinkering with the number of </w:t>
      </w:r>
      <w:r w:rsidR="0065344D">
        <w:t xml:space="preserve">course </w:t>
      </w:r>
      <w:r>
        <w:t>units, th</w:t>
      </w:r>
      <w:r w:rsidR="0065344D">
        <w:t>e appropriate lab-lecture ratio</w:t>
      </w:r>
      <w:r>
        <w:t xml:space="preserve">, and the number of courses in a given program sequence. </w:t>
      </w:r>
      <w:r w:rsidR="0065344D">
        <w:t>What does propose a challenge from a policy point of view is when reformers, in order to compress the developmental-to-transfer pathway, take the additional step of omitting topics from the current developmental sequence.</w:t>
      </w:r>
      <w:r w:rsidR="00ED7F19">
        <w:t xml:space="preserve"> For example, </w:t>
      </w:r>
      <w:r w:rsidR="007116D3">
        <w:t xml:space="preserve">the three-course sequence </w:t>
      </w:r>
      <w:r w:rsidR="00793F8F" w:rsidRPr="00B60E50">
        <w:rPr>
          <w:i/>
        </w:rPr>
        <w:t>Beginning Algebra-Intermediate Algebra-Statistics</w:t>
      </w:r>
      <w:r w:rsidR="006B0CDD">
        <w:t xml:space="preserve"> is a common</w:t>
      </w:r>
      <w:r w:rsidR="00ED7F19">
        <w:t xml:space="preserve"> developmental-to-transfer pathway for </w:t>
      </w:r>
      <w:r w:rsidR="006B0CDD">
        <w:t>non</w:t>
      </w:r>
      <w:r w:rsidR="007116D3">
        <w:t>-</w:t>
      </w:r>
      <w:r w:rsidR="006B0CDD">
        <w:t xml:space="preserve">STEM students needing a </w:t>
      </w:r>
      <w:r w:rsidR="00B32B2B">
        <w:t>transfer</w:t>
      </w:r>
      <w:r w:rsidR="006B0CDD">
        <w:t>-level mathematics course. As a compressed, alternative pathway</w:t>
      </w:r>
      <w:r w:rsidR="007116D3">
        <w:t xml:space="preserve">, experimental </w:t>
      </w:r>
      <w:r w:rsidR="00ED7F19">
        <w:t>projects</w:t>
      </w:r>
      <w:r w:rsidR="007116D3">
        <w:t xml:space="preserve"> like</w:t>
      </w:r>
      <w:r w:rsidR="00ED7F19">
        <w:t xml:space="preserve"> </w:t>
      </w:r>
      <w:proofErr w:type="spellStart"/>
      <w:r w:rsidR="00ED7F19">
        <w:t>StatWay</w:t>
      </w:r>
      <w:proofErr w:type="spellEnd"/>
      <w:r w:rsidR="00ED7F19">
        <w:t xml:space="preserve"> and </w:t>
      </w:r>
      <w:proofErr w:type="spellStart"/>
      <w:r w:rsidR="00ED7F19">
        <w:t>StatPath</w:t>
      </w:r>
      <w:proofErr w:type="spellEnd"/>
      <w:r w:rsidR="007116D3">
        <w:t xml:space="preserve"> employ a two-course sequence in which a non</w:t>
      </w:r>
      <w:r w:rsidR="00892A14">
        <w:t>-</w:t>
      </w:r>
      <w:r w:rsidR="007116D3">
        <w:t>transfer preparatory course in statistics and algebra is followed by a transfer-level statistics course. Only those algebra topics directly needed to understand statistics are included in the experimental sequence.</w:t>
      </w:r>
    </w:p>
    <w:p w:rsidR="0097764A" w:rsidRPr="0097764A" w:rsidRDefault="003B43AF">
      <w:pPr>
        <w:rPr>
          <w:b/>
        </w:rPr>
      </w:pPr>
      <w:r w:rsidRPr="003B43AF">
        <w:rPr>
          <w:b/>
        </w:rPr>
        <w:t xml:space="preserve">Policy </w:t>
      </w:r>
      <w:r w:rsidR="0097764A">
        <w:rPr>
          <w:b/>
        </w:rPr>
        <w:t>Concerns</w:t>
      </w:r>
    </w:p>
    <w:p w:rsidR="006A002B" w:rsidRDefault="009A72BB">
      <w:r>
        <w:t xml:space="preserve">Why would such a curriculum </w:t>
      </w:r>
      <w:r w:rsidR="006A002B">
        <w:t xml:space="preserve">innovation </w:t>
      </w:r>
      <w:r>
        <w:t>create policy concerns?</w:t>
      </w:r>
      <w:r w:rsidR="00471DD8">
        <w:t xml:space="preserve"> </w:t>
      </w:r>
      <w:r w:rsidR="006A002B">
        <w:t>There are at least three different areas in which omission of algebra topics is problematic from a policy point of view:</w:t>
      </w:r>
    </w:p>
    <w:p w:rsidR="008F2B0C" w:rsidRDefault="00892A14" w:rsidP="00892A14">
      <w:pPr>
        <w:pStyle w:val="ListParagraph"/>
        <w:numPr>
          <w:ilvl w:val="0"/>
          <w:numId w:val="2"/>
        </w:numPr>
      </w:pPr>
      <w:r>
        <w:rPr>
          <w:b/>
          <w:i/>
        </w:rPr>
        <w:t>Conflicts with Title 5 mathematics graduation competency r</w:t>
      </w:r>
      <w:r w:rsidR="003B43AF" w:rsidRPr="003B43AF">
        <w:rPr>
          <w:b/>
          <w:i/>
        </w:rPr>
        <w:t xml:space="preserve">equirement. </w:t>
      </w:r>
      <w:r w:rsidR="003B43AF" w:rsidRPr="003B43AF">
        <w:rPr>
          <w:b/>
          <w:i/>
        </w:rPr>
        <w:br/>
      </w:r>
      <w:r w:rsidR="008F2C8E">
        <w:t xml:space="preserve">Specifically, </w:t>
      </w:r>
      <w:r w:rsidR="008F2C8E" w:rsidRPr="008F2C8E">
        <w:t xml:space="preserve">Title 5 §55063 defines graduation </w:t>
      </w:r>
      <w:r w:rsidR="00604B47">
        <w:t xml:space="preserve">competency </w:t>
      </w:r>
      <w:r w:rsidR="00604B47" w:rsidRPr="008F2C8E">
        <w:t>in</w:t>
      </w:r>
      <w:r w:rsidR="008F2C8E" w:rsidRPr="008F2C8E">
        <w:t xml:space="preserve"> mathematics as </w:t>
      </w:r>
      <w:r w:rsidR="00E21E0C">
        <w:t>“obtaining a satisfactory grade in a mathematics course at the level of the course typically known as Intermediate Algebra (either Intermediate Algebra or another mathematics course at the same level, with the same rigor and with Elementary Algebra as a prerequisite…) or by completing an assessment … and achieving a score determined to be comparable to satisfactory completion of the specified mathematics course.</w:t>
      </w:r>
      <w:r w:rsidR="008F2C8E">
        <w:t xml:space="preserve">” The prep course in the two-course sequence described above is not equivalent to Elementary Algebra because it includes only those algebra topics </w:t>
      </w:r>
      <w:r w:rsidR="008F2C8E">
        <w:lastRenderedPageBreak/>
        <w:t xml:space="preserve">deemed necessary for statistics. </w:t>
      </w:r>
      <w:r w:rsidR="00435AEB">
        <w:t xml:space="preserve">Thus, </w:t>
      </w:r>
      <w:r w:rsidR="009969A4">
        <w:t xml:space="preserve">at least under a literal reading of Title 5, </w:t>
      </w:r>
      <w:r w:rsidR="00435AEB">
        <w:t>t</w:t>
      </w:r>
      <w:r w:rsidR="008F2C8E">
        <w:t xml:space="preserve">he transfer-level statistics portion of the </w:t>
      </w:r>
      <w:r w:rsidR="00435AEB">
        <w:t xml:space="preserve">experimental </w:t>
      </w:r>
      <w:r w:rsidR="008F2C8E">
        <w:t xml:space="preserve">sequence </w:t>
      </w:r>
      <w:r w:rsidR="00435AEB">
        <w:t>doesn’t meet the graduation competency requirement in mathematics as presently written.</w:t>
      </w:r>
      <w:r w:rsidR="00033DEE">
        <w:t xml:space="preserve"> Furthermore, some people might question whether students held to the requirements for an AA or AS degree are held to higher standards than students preparing to transfer with the new curriculum.</w:t>
      </w:r>
      <w:r w:rsidR="00471DD8">
        <w:t xml:space="preserve"> </w:t>
      </w:r>
      <w:r w:rsidR="009969A4">
        <w:br/>
      </w:r>
    </w:p>
    <w:p w:rsidR="008F2B0C" w:rsidRDefault="003B43AF" w:rsidP="00892A14">
      <w:pPr>
        <w:pStyle w:val="ListParagraph"/>
        <w:numPr>
          <w:ilvl w:val="0"/>
          <w:numId w:val="2"/>
        </w:numPr>
      </w:pPr>
      <w:r w:rsidRPr="003B43AF">
        <w:rPr>
          <w:b/>
          <w:i/>
        </w:rPr>
        <w:t xml:space="preserve">California community colleges </w:t>
      </w:r>
      <w:r w:rsidR="00AF06BB">
        <w:rPr>
          <w:b/>
          <w:i/>
        </w:rPr>
        <w:t>may</w:t>
      </w:r>
      <w:r w:rsidRPr="003B43AF">
        <w:rPr>
          <w:b/>
          <w:i/>
        </w:rPr>
        <w:t xml:space="preserve"> be sending a mixed message to high school students.</w:t>
      </w:r>
      <w:r w:rsidR="009969A4">
        <w:t xml:space="preserve"> </w:t>
      </w:r>
      <w:r w:rsidR="009969A4">
        <w:br/>
      </w:r>
      <w:r w:rsidR="003C548F">
        <w:t xml:space="preserve">At the high school level, the new national Common Core State Standards (CCSS) for mathematics require knowledge of the topics normally taught in </w:t>
      </w:r>
      <w:r w:rsidR="00817172">
        <w:t>B</w:t>
      </w:r>
      <w:r w:rsidR="003C548F">
        <w:t xml:space="preserve">eginning and </w:t>
      </w:r>
      <w:r w:rsidR="00817172">
        <w:t>I</w:t>
      </w:r>
      <w:r w:rsidR="003C548F">
        <w:t xml:space="preserve">ntermediate </w:t>
      </w:r>
      <w:r w:rsidR="00817172">
        <w:t>A</w:t>
      </w:r>
      <w:r w:rsidR="003C548F">
        <w:t>lgebra at our colleges. The CCSS expects all students to acquire this level of mathematical understanding, even for students pursuing non-STEM careers; the CCSS has even higher mathematical standards for those planning to pursue STEM field</w:t>
      </w:r>
      <w:r w:rsidR="00994C3C">
        <w:t>s</w:t>
      </w:r>
      <w:r w:rsidR="003C548F">
        <w:t xml:space="preserve">. </w:t>
      </w:r>
      <w:r w:rsidR="00892A14">
        <w:t xml:space="preserve">Relatedly, the </w:t>
      </w:r>
      <w:r w:rsidR="00817172">
        <w:t>A</w:t>
      </w:r>
      <w:r w:rsidR="00087243">
        <w:t xml:space="preserve">cademic </w:t>
      </w:r>
      <w:r w:rsidR="00817172">
        <w:t>S</w:t>
      </w:r>
      <w:r w:rsidR="00087243">
        <w:t>enates of the California Community Colleges, the California State University, and the University of California have jointly adopted a set of mathematics competency standards</w:t>
      </w:r>
      <w:r w:rsidR="00E75227">
        <w:t xml:space="preserve"> </w:t>
      </w:r>
      <w:r w:rsidR="0064661C">
        <w:t>at a similar level</w:t>
      </w:r>
      <w:r w:rsidR="00E75227">
        <w:t xml:space="preserve"> of </w:t>
      </w:r>
      <w:r w:rsidR="0064661C">
        <w:t>rigor</w:t>
      </w:r>
      <w:r w:rsidR="00E75227">
        <w:t xml:space="preserve"> with regard to needed algebra knowledge for college-level work. If community colleges offer a developmental-to-transfer-level pathway that is shorter and </w:t>
      </w:r>
      <w:r w:rsidR="00817172">
        <w:t xml:space="preserve">reduces the content </w:t>
      </w:r>
      <w:r w:rsidR="00471DD8">
        <w:t>expected to</w:t>
      </w:r>
      <w:r w:rsidR="00817172">
        <w:t xml:space="preserve"> be learned</w:t>
      </w:r>
      <w:r w:rsidR="00E75227">
        <w:t xml:space="preserve">, students may </w:t>
      </w:r>
      <w:r w:rsidR="0064661C">
        <w:t>choose not to</w:t>
      </w:r>
      <w:r w:rsidR="00E75227">
        <w:t xml:space="preserve"> work as hard in high school </w:t>
      </w:r>
      <w:r w:rsidR="00AF06BB">
        <w:t xml:space="preserve">to master all mathematical topics </w:t>
      </w:r>
      <w:r w:rsidR="00E75227">
        <w:t xml:space="preserve">because they know there is a </w:t>
      </w:r>
      <w:r w:rsidR="00994C3C">
        <w:t>“</w:t>
      </w:r>
      <w:r w:rsidR="00E75227">
        <w:t>Plan B</w:t>
      </w:r>
      <w:r w:rsidR="00994C3C">
        <w:t>”</w:t>
      </w:r>
      <w:r w:rsidR="00E75227">
        <w:t xml:space="preserve"> for them </w:t>
      </w:r>
      <w:r w:rsidR="0064661C">
        <w:t xml:space="preserve">available </w:t>
      </w:r>
      <w:r w:rsidR="00E75227">
        <w:t>at the community college.</w:t>
      </w:r>
      <w:r w:rsidR="001E55B1">
        <w:t xml:space="preserve"> </w:t>
      </w:r>
      <w:r w:rsidR="001E55B1" w:rsidRPr="001E55B1">
        <w:t>Given these realities, community colleges find themselves in a sticky political situation. If the new curriculum is adopted, all students, except community college students, will be held to similar standards with an expectation of learning the traditional developmental algebra sequence.</w:t>
      </w:r>
      <w:r w:rsidR="00471DD8">
        <w:t xml:space="preserve"> </w:t>
      </w:r>
      <w:r w:rsidR="001E55B1" w:rsidRPr="001E55B1">
        <w:t>If a student goes to community college, then the expectations will be different, and the student will not be required to learn Pre-, Beginning or Intermediate Algebra.</w:t>
      </w:r>
      <w:r w:rsidR="00471DD8">
        <w:t xml:space="preserve"> </w:t>
      </w:r>
      <w:r w:rsidR="001E55B1" w:rsidRPr="001E55B1">
        <w:t xml:space="preserve">Such an eventuality would </w:t>
      </w:r>
      <w:r w:rsidR="001E55B1">
        <w:t>weaken</w:t>
      </w:r>
      <w:r w:rsidR="001E55B1" w:rsidRPr="001E55B1">
        <w:t xml:space="preserve"> high schools</w:t>
      </w:r>
      <w:r w:rsidR="001E55B1">
        <w:t>’ efforts</w:t>
      </w:r>
      <w:r w:rsidR="001E55B1" w:rsidRPr="001E55B1">
        <w:t xml:space="preserve"> to help students meet the CCSS.</w:t>
      </w:r>
      <w:r w:rsidR="00471DD8">
        <w:t xml:space="preserve"> </w:t>
      </w:r>
      <w:r w:rsidR="00033DEE">
        <w:br/>
      </w:r>
      <w:r w:rsidR="00033DEE">
        <w:br/>
        <w:t>Additionally, Elementary Statistics may be taken in high school as an Advanced Placement (AP) course.</w:t>
      </w:r>
      <w:r w:rsidR="00471DD8">
        <w:t xml:space="preserve"> </w:t>
      </w:r>
      <w:r w:rsidR="00033DEE">
        <w:t>The AP course also requires students to successfully complete Intermediate Algebra prior to enrolling</w:t>
      </w:r>
      <w:r w:rsidR="00877FAB">
        <w:t>. The</w:t>
      </w:r>
      <w:r w:rsidR="00033DEE">
        <w:t xml:space="preserve"> point of AP courses</w:t>
      </w:r>
      <w:r w:rsidR="00877FAB">
        <w:t xml:space="preserve"> is to model college curriculum so that students can receive undergraduate credit, but the prerequisite for the high school AP course will </w:t>
      </w:r>
      <w:r w:rsidR="00817172">
        <w:t xml:space="preserve">match the university courses and </w:t>
      </w:r>
      <w:r w:rsidR="00877FAB">
        <w:t>be higher than for those CCC students in the experimental statistics sequence.</w:t>
      </w:r>
    </w:p>
    <w:p w:rsidR="008F2B0C" w:rsidRDefault="008F2B0C">
      <w:pPr>
        <w:pStyle w:val="ListParagraph"/>
      </w:pPr>
    </w:p>
    <w:p w:rsidR="008F2B0C" w:rsidRDefault="003B43AF">
      <w:pPr>
        <w:pStyle w:val="ListParagraph"/>
        <w:numPr>
          <w:ilvl w:val="0"/>
          <w:numId w:val="2"/>
        </w:numPr>
      </w:pPr>
      <w:r w:rsidRPr="003B43AF">
        <w:rPr>
          <w:b/>
          <w:i/>
        </w:rPr>
        <w:t>Potentially creates friction in articulation processes with the California State University and University of California.</w:t>
      </w:r>
      <w:r w:rsidRPr="003B43AF">
        <w:rPr>
          <w:b/>
          <w:i/>
        </w:rPr>
        <w:br/>
      </w:r>
      <w:r w:rsidR="00D63D03">
        <w:t>The CSU has a policy (CSU Executive Order 1033) that states that all mathematics courses in the quantitative reason</w:t>
      </w:r>
      <w:r w:rsidR="00DB627A">
        <w:t>ing</w:t>
      </w:r>
      <w:r w:rsidR="00D63D03">
        <w:t xml:space="preserve"> general education pattern must have an explicit </w:t>
      </w:r>
      <w:r w:rsidR="00817172">
        <w:t>I</w:t>
      </w:r>
      <w:r w:rsidR="00D63D03">
        <w:t xml:space="preserve">ntermediate </w:t>
      </w:r>
      <w:r w:rsidR="00817172">
        <w:t>A</w:t>
      </w:r>
      <w:r w:rsidR="00D63D03">
        <w:t>lgebra</w:t>
      </w:r>
      <w:r w:rsidR="00471DD8">
        <w:t xml:space="preserve"> </w:t>
      </w:r>
      <w:r w:rsidR="00D63D03">
        <w:t>prerequisite, and UC requires that all transfer level mathematics courses have Intermediate Algebra or equivalent as the prerequisite to the transfer level course (UC Transfer Course Agreement (2012).</w:t>
      </w:r>
      <w:r w:rsidR="00471DD8">
        <w:t xml:space="preserve"> </w:t>
      </w:r>
      <w:r w:rsidR="00D63D03" w:rsidRPr="00D63D03">
        <w:t xml:space="preserve">Because the </w:t>
      </w:r>
      <w:r w:rsidR="00DB627A">
        <w:t>experimental prep course for statistics</w:t>
      </w:r>
      <w:r w:rsidR="00D63D03" w:rsidRPr="00D63D03">
        <w:t xml:space="preserve"> described above is not </w:t>
      </w:r>
      <w:r w:rsidR="00DB627A">
        <w:t xml:space="preserve">equivalent to </w:t>
      </w:r>
      <w:r w:rsidR="00817172">
        <w:t>I</w:t>
      </w:r>
      <w:r w:rsidR="00DB627A">
        <w:t xml:space="preserve">ntermediate </w:t>
      </w:r>
      <w:r w:rsidR="00817172">
        <w:t>A</w:t>
      </w:r>
      <w:r w:rsidR="00D63D03" w:rsidRPr="00D63D03">
        <w:t xml:space="preserve">lgebra, the articulation of </w:t>
      </w:r>
      <w:r w:rsidR="00DB627A">
        <w:t xml:space="preserve">the transfer-level portion of the sequence cannot be made without some type of waiver or other special consideration. </w:t>
      </w:r>
      <w:r w:rsidR="00033DEE">
        <w:t xml:space="preserve">For a limited number of </w:t>
      </w:r>
      <w:r w:rsidR="00817172">
        <w:t xml:space="preserve">California community </w:t>
      </w:r>
      <w:r w:rsidR="00033DEE">
        <w:t>colleges on a pilot basis, CSU is allowing the transfer-</w:t>
      </w:r>
      <w:r w:rsidR="00033DEE">
        <w:lastRenderedPageBreak/>
        <w:t xml:space="preserve">level course in the sequence to articulate for a period of time while data on the effectiveness of the course </w:t>
      </w:r>
      <w:r w:rsidR="00817172">
        <w:t>are</w:t>
      </w:r>
      <w:r w:rsidR="00033DEE">
        <w:t xml:space="preserve"> collected. UC plans to evaluate each of the courses on its merits using their existing processes for articulation.</w:t>
      </w:r>
    </w:p>
    <w:p w:rsidR="00B168C0" w:rsidRPr="00892A14" w:rsidRDefault="008F2C8E">
      <w:r w:rsidRPr="008F2C8E">
        <w:t xml:space="preserve"> </w:t>
      </w:r>
      <w:r w:rsidR="003B43AF" w:rsidRPr="003B43AF">
        <w:rPr>
          <w:b/>
        </w:rPr>
        <w:t>Some Ways Forward</w:t>
      </w:r>
    </w:p>
    <w:p w:rsidR="000511FD" w:rsidRDefault="003A47D0" w:rsidP="000511FD">
      <w:r>
        <w:t xml:space="preserve">As decided at the </w:t>
      </w:r>
      <w:proofErr w:type="gramStart"/>
      <w:r>
        <w:t>Fall</w:t>
      </w:r>
      <w:proofErr w:type="gramEnd"/>
      <w:r>
        <w:t xml:space="preserve"> plenary session, the resolutions related to the accelerated developmental-to-transfer-level statistics pathway will be deferred until the professional CCC mathematics organizations have a chance to study the innovation and provide us with their informed opinion of it. Regardless of what they determine with regards to the curriculum itself, the policy concerns remai</w:t>
      </w:r>
      <w:r w:rsidR="0018417F">
        <w:t>n and will have to be addressed if this particular experiment</w:t>
      </w:r>
      <w:r>
        <w:t xml:space="preserve"> is to continue and expand. </w:t>
      </w:r>
      <w:r w:rsidR="000511FD">
        <w:t xml:space="preserve">Some </w:t>
      </w:r>
      <w:r w:rsidR="00B60E50">
        <w:t xml:space="preserve">possible </w:t>
      </w:r>
      <w:r>
        <w:t>approaches to the policy challenges</w:t>
      </w:r>
      <w:r w:rsidR="000511FD">
        <w:t xml:space="preserve"> include making no </w:t>
      </w:r>
      <w:r w:rsidR="00E66A08">
        <w:t xml:space="preserve">policy </w:t>
      </w:r>
      <w:r w:rsidR="000511FD">
        <w:t>change</w:t>
      </w:r>
      <w:r w:rsidR="00E66A08">
        <w:t>s</w:t>
      </w:r>
      <w:r w:rsidR="000511FD">
        <w:t xml:space="preserve"> at this time, </w:t>
      </w:r>
      <w:r w:rsidR="00B60E50">
        <w:t xml:space="preserve">perhaps </w:t>
      </w:r>
      <w:r w:rsidR="000511FD">
        <w:t>redefining the mathematics graduation requirement in Title 5, or once the new curriculum meets all other challenges, creating a marketing and messaging blitz to</w:t>
      </w:r>
      <w:r w:rsidR="000511FD" w:rsidRPr="000511FD">
        <w:t xml:space="preserve"> </w:t>
      </w:r>
      <w:r w:rsidR="000511FD">
        <w:t>high school students, teachers, administrators, university partners, parents of K-12 students, and the public in general</w:t>
      </w:r>
      <w:r w:rsidR="00E66A08">
        <w:t xml:space="preserve"> explaining</w:t>
      </w:r>
      <w:r w:rsidR="000511FD">
        <w:t xml:space="preserve"> the different standards for mathematical competence at community colleges.</w:t>
      </w:r>
      <w:r w:rsidR="00471DD8">
        <w:t xml:space="preserve"> </w:t>
      </w:r>
      <w:r w:rsidR="00E66A08">
        <w:t xml:space="preserve">Creative thinking will be needed to </w:t>
      </w:r>
      <w:r w:rsidR="00B60E50">
        <w:t>re</w:t>
      </w:r>
      <w:r w:rsidR="00E66A08">
        <w:t xml:space="preserve">solve the </w:t>
      </w:r>
      <w:r w:rsidR="00B60E50">
        <w:t>policy</w:t>
      </w:r>
      <w:r w:rsidR="00E66A08">
        <w:t xml:space="preserve"> conundrum </w:t>
      </w:r>
      <w:r w:rsidR="00D55398">
        <w:t>raised by</w:t>
      </w:r>
      <w:r w:rsidR="00E66A08">
        <w:t xml:space="preserve"> the new curriculum and the </w:t>
      </w:r>
      <w:r w:rsidR="00B60E50">
        <w:t>challenges</w:t>
      </w:r>
      <w:r w:rsidR="00E66A08">
        <w:t xml:space="preserve"> it poses for students</w:t>
      </w:r>
      <w:r w:rsidR="00B60E50">
        <w:t xml:space="preserve"> navigating the system</w:t>
      </w:r>
      <w:r w:rsidR="00E66A08">
        <w:t>.</w:t>
      </w:r>
    </w:p>
    <w:p w:rsidR="001B36AF" w:rsidRPr="001B36AF" w:rsidRDefault="003B43AF">
      <w:pPr>
        <w:rPr>
          <w:b/>
        </w:rPr>
      </w:pPr>
      <w:r w:rsidRPr="003B43AF">
        <w:rPr>
          <w:b/>
        </w:rPr>
        <w:t>Conclusion</w:t>
      </w:r>
    </w:p>
    <w:p w:rsidR="001B36AF" w:rsidRDefault="001B36AF" w:rsidP="0018417F">
      <w:r>
        <w:t>Curriculum innovation and experimentation are challen</w:t>
      </w:r>
      <w:r w:rsidR="0018417F">
        <w:t xml:space="preserve">ging activities even in the best of circumstances. </w:t>
      </w:r>
      <w:r>
        <w:t xml:space="preserve">There is </w:t>
      </w:r>
      <w:r w:rsidR="000A6FDF">
        <w:t>typically a certain amount of institutional</w:t>
      </w:r>
      <w:r>
        <w:t xml:space="preserve"> resistance to change</w:t>
      </w:r>
      <w:r w:rsidR="0018417F">
        <w:t>.</w:t>
      </w:r>
      <w:r w:rsidR="00471DD8">
        <w:t xml:space="preserve"> </w:t>
      </w:r>
      <w:r w:rsidR="0018417F">
        <w:t>The innovator must be an advocate of the particular approach</w:t>
      </w:r>
      <w:r w:rsidR="006E7EEE">
        <w:t xml:space="preserve"> in order to</w:t>
      </w:r>
      <w:r w:rsidR="0018417F">
        <w:t xml:space="preserve"> attempt the curricular experiment</w:t>
      </w:r>
      <w:r w:rsidR="006E7EEE">
        <w:t xml:space="preserve"> in the first place</w:t>
      </w:r>
      <w:r w:rsidR="0018417F">
        <w:t xml:space="preserve">, and, at the same time, </w:t>
      </w:r>
      <w:r w:rsidR="006E7EEE">
        <w:t xml:space="preserve">a skeptic, </w:t>
      </w:r>
      <w:r w:rsidR="0018417F">
        <w:t>recogniz</w:t>
      </w:r>
      <w:r w:rsidR="006E7EEE">
        <w:t>ing</w:t>
      </w:r>
      <w:r w:rsidR="0018417F">
        <w:t xml:space="preserve"> that the work that he or she is doing is a trial and may not work. In the case of the </w:t>
      </w:r>
      <w:r w:rsidR="006E7EEE">
        <w:t xml:space="preserve">experimental </w:t>
      </w:r>
      <w:r w:rsidR="0018417F">
        <w:t>developmental-to-college</w:t>
      </w:r>
      <w:r w:rsidR="006E7EEE">
        <w:t>-level</w:t>
      </w:r>
      <w:r w:rsidR="0018417F">
        <w:t xml:space="preserve"> statistics</w:t>
      </w:r>
      <w:r w:rsidR="006E7EEE">
        <w:t xml:space="preserve"> sequence, the work is even harder as there are a number of policy issues that must be addressed simultaneously. While the Academic Senate has </w:t>
      </w:r>
      <w:r w:rsidR="00421237">
        <w:t>historically limited</w:t>
      </w:r>
      <w:r w:rsidR="006E7EEE">
        <w:t xml:space="preserve"> its involvement in curricular issues </w:t>
      </w:r>
      <w:r w:rsidR="000A6FDF">
        <w:t>occurring within a</w:t>
      </w:r>
      <w:r w:rsidR="006E7EEE">
        <w:t xml:space="preserve"> discipline, </w:t>
      </w:r>
      <w:r w:rsidR="000A6FDF">
        <w:t xml:space="preserve">typically </w:t>
      </w:r>
      <w:r w:rsidR="006E7EEE">
        <w:t>deferring to professional organizations</w:t>
      </w:r>
      <w:r w:rsidR="000A6FDF">
        <w:t xml:space="preserve"> on matters of subject matter and pedagogy</w:t>
      </w:r>
      <w:r w:rsidR="006E7EEE">
        <w:t xml:space="preserve">, the Academic Senate does have an ongoing interest in larger statewide educational </w:t>
      </w:r>
      <w:r w:rsidR="000A6FDF">
        <w:t xml:space="preserve">issues </w:t>
      </w:r>
      <w:r w:rsidR="006E7EEE">
        <w:t xml:space="preserve">like </w:t>
      </w:r>
      <w:r w:rsidR="000A6FDF">
        <w:t>graduation and transfer</w:t>
      </w:r>
      <w:r w:rsidR="006E7EEE">
        <w:t>.</w:t>
      </w:r>
      <w:r w:rsidR="00915735">
        <w:t xml:space="preserve"> Thus, </w:t>
      </w:r>
      <w:r w:rsidR="00E66A08">
        <w:t>faculty</w:t>
      </w:r>
      <w:r w:rsidR="00D55398">
        <w:t xml:space="preserve">, beginning with those in the discipline of mathematics </w:t>
      </w:r>
      <w:r w:rsidR="00421237">
        <w:t>but expanding</w:t>
      </w:r>
      <w:r w:rsidR="00C77999">
        <w:t xml:space="preserve"> to all concerned about standards and student success,</w:t>
      </w:r>
      <w:r w:rsidR="00E66A08">
        <w:t xml:space="preserve"> must continue to debate and thoughtfully consider the best solutions for all stakeholders</w:t>
      </w:r>
      <w:r w:rsidR="00915735">
        <w:t>.</w:t>
      </w:r>
    </w:p>
    <w:p w:rsidR="005B40C3" w:rsidRDefault="005B40C3"/>
    <w:sectPr w:rsidR="005B40C3" w:rsidSect="005472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Lucida Grande">
    <w:altName w:val="Arial"/>
    <w:charset w:val="00"/>
    <w:family w:val="auto"/>
    <w:pitch w:val="variable"/>
    <w:sig w:usb0="00000000" w:usb1="5000A1FF" w:usb2="00000000" w:usb3="00000000" w:csb0="000001B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710302"/>
    <w:multiLevelType w:val="hybridMultilevel"/>
    <w:tmpl w:val="076408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6D8018B"/>
    <w:multiLevelType w:val="hybridMultilevel"/>
    <w:tmpl w:val="EF90F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20"/>
  <w:characterSpacingControl w:val="doNotCompress"/>
  <w:compat/>
  <w:rsids>
    <w:rsidRoot w:val="00F91DB7"/>
    <w:rsid w:val="000323AF"/>
    <w:rsid w:val="00033DEE"/>
    <w:rsid w:val="00045816"/>
    <w:rsid w:val="000511FD"/>
    <w:rsid w:val="00082C29"/>
    <w:rsid w:val="00087243"/>
    <w:rsid w:val="000A489C"/>
    <w:rsid w:val="000A6FDF"/>
    <w:rsid w:val="000C1F91"/>
    <w:rsid w:val="000D36B2"/>
    <w:rsid w:val="000E24FF"/>
    <w:rsid w:val="000E7BC3"/>
    <w:rsid w:val="00117014"/>
    <w:rsid w:val="00117511"/>
    <w:rsid w:val="00144436"/>
    <w:rsid w:val="0018417F"/>
    <w:rsid w:val="001A0F98"/>
    <w:rsid w:val="001B36AF"/>
    <w:rsid w:val="001E55B1"/>
    <w:rsid w:val="002103D3"/>
    <w:rsid w:val="0021585F"/>
    <w:rsid w:val="00244102"/>
    <w:rsid w:val="00276BD4"/>
    <w:rsid w:val="002835A7"/>
    <w:rsid w:val="002930F2"/>
    <w:rsid w:val="002B7D9C"/>
    <w:rsid w:val="002C7F3F"/>
    <w:rsid w:val="002D1F8C"/>
    <w:rsid w:val="002D61DF"/>
    <w:rsid w:val="003038D7"/>
    <w:rsid w:val="00386915"/>
    <w:rsid w:val="00394C1A"/>
    <w:rsid w:val="003A47D0"/>
    <w:rsid w:val="003B43AF"/>
    <w:rsid w:val="003C548F"/>
    <w:rsid w:val="003E6C37"/>
    <w:rsid w:val="003F277B"/>
    <w:rsid w:val="00403715"/>
    <w:rsid w:val="00420AE0"/>
    <w:rsid w:val="00421237"/>
    <w:rsid w:val="00430913"/>
    <w:rsid w:val="00435AEB"/>
    <w:rsid w:val="00441A38"/>
    <w:rsid w:val="0045717B"/>
    <w:rsid w:val="00471DD8"/>
    <w:rsid w:val="00476DB7"/>
    <w:rsid w:val="004813DF"/>
    <w:rsid w:val="00521ADA"/>
    <w:rsid w:val="00536927"/>
    <w:rsid w:val="0054722A"/>
    <w:rsid w:val="005739A6"/>
    <w:rsid w:val="005B40C3"/>
    <w:rsid w:val="00604B47"/>
    <w:rsid w:val="00620774"/>
    <w:rsid w:val="00621DFE"/>
    <w:rsid w:val="0064661C"/>
    <w:rsid w:val="0065344D"/>
    <w:rsid w:val="00675CFE"/>
    <w:rsid w:val="0068635E"/>
    <w:rsid w:val="00692E9A"/>
    <w:rsid w:val="006A002B"/>
    <w:rsid w:val="006B0CDD"/>
    <w:rsid w:val="006B4A50"/>
    <w:rsid w:val="006E7893"/>
    <w:rsid w:val="006E7EEE"/>
    <w:rsid w:val="006F3189"/>
    <w:rsid w:val="007116D3"/>
    <w:rsid w:val="0072453F"/>
    <w:rsid w:val="00727CE2"/>
    <w:rsid w:val="00774E92"/>
    <w:rsid w:val="00793F8F"/>
    <w:rsid w:val="007B162C"/>
    <w:rsid w:val="007B3E29"/>
    <w:rsid w:val="007B4CF0"/>
    <w:rsid w:val="007E6A3F"/>
    <w:rsid w:val="00805679"/>
    <w:rsid w:val="00817172"/>
    <w:rsid w:val="00847AFD"/>
    <w:rsid w:val="00877FAB"/>
    <w:rsid w:val="00881551"/>
    <w:rsid w:val="00892A14"/>
    <w:rsid w:val="008F2B0C"/>
    <w:rsid w:val="008F2C8E"/>
    <w:rsid w:val="008F31E7"/>
    <w:rsid w:val="00915735"/>
    <w:rsid w:val="009175C5"/>
    <w:rsid w:val="00942577"/>
    <w:rsid w:val="0096164F"/>
    <w:rsid w:val="00970764"/>
    <w:rsid w:val="0097764A"/>
    <w:rsid w:val="00994C3C"/>
    <w:rsid w:val="009969A4"/>
    <w:rsid w:val="009A72BB"/>
    <w:rsid w:val="009D0440"/>
    <w:rsid w:val="009D1DF3"/>
    <w:rsid w:val="00A249D8"/>
    <w:rsid w:val="00AB3F89"/>
    <w:rsid w:val="00AE1A72"/>
    <w:rsid w:val="00AF06BB"/>
    <w:rsid w:val="00B01AF9"/>
    <w:rsid w:val="00B168C0"/>
    <w:rsid w:val="00B223D7"/>
    <w:rsid w:val="00B32078"/>
    <w:rsid w:val="00B32B2B"/>
    <w:rsid w:val="00B60E50"/>
    <w:rsid w:val="00B71FBE"/>
    <w:rsid w:val="00B937A2"/>
    <w:rsid w:val="00B953EE"/>
    <w:rsid w:val="00BC55D1"/>
    <w:rsid w:val="00BE032E"/>
    <w:rsid w:val="00C129BB"/>
    <w:rsid w:val="00C21C3B"/>
    <w:rsid w:val="00C52D4B"/>
    <w:rsid w:val="00C53E51"/>
    <w:rsid w:val="00C77999"/>
    <w:rsid w:val="00D249F8"/>
    <w:rsid w:val="00D37C68"/>
    <w:rsid w:val="00D472FF"/>
    <w:rsid w:val="00D55398"/>
    <w:rsid w:val="00D63D03"/>
    <w:rsid w:val="00DB627A"/>
    <w:rsid w:val="00DD5AF7"/>
    <w:rsid w:val="00E21E0C"/>
    <w:rsid w:val="00E22FBA"/>
    <w:rsid w:val="00E51417"/>
    <w:rsid w:val="00E66A08"/>
    <w:rsid w:val="00E75227"/>
    <w:rsid w:val="00E76C48"/>
    <w:rsid w:val="00EC1998"/>
    <w:rsid w:val="00ED7F19"/>
    <w:rsid w:val="00F70514"/>
    <w:rsid w:val="00F91DB7"/>
    <w:rsid w:val="00FB103B"/>
    <w:rsid w:val="00FF15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2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5816"/>
    <w:rPr>
      <w:color w:val="0000FF" w:themeColor="hyperlink"/>
      <w:u w:val="single"/>
    </w:rPr>
  </w:style>
  <w:style w:type="paragraph" w:styleId="BalloonText">
    <w:name w:val="Balloon Text"/>
    <w:basedOn w:val="Normal"/>
    <w:link w:val="BalloonTextChar"/>
    <w:uiPriority w:val="99"/>
    <w:semiHidden/>
    <w:unhideWhenUsed/>
    <w:rsid w:val="002835A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35A7"/>
    <w:rPr>
      <w:rFonts w:ascii="Lucida Grande" w:hAnsi="Lucida Grande" w:cs="Lucida Grande"/>
      <w:sz w:val="18"/>
      <w:szCs w:val="18"/>
    </w:rPr>
  </w:style>
  <w:style w:type="paragraph" w:styleId="ListParagraph">
    <w:name w:val="List Paragraph"/>
    <w:basedOn w:val="Normal"/>
    <w:uiPriority w:val="34"/>
    <w:qFormat/>
    <w:rsid w:val="009969A4"/>
    <w:pPr>
      <w:ind w:left="720"/>
      <w:contextualSpacing/>
    </w:pPr>
  </w:style>
  <w:style w:type="character" w:styleId="CommentReference">
    <w:name w:val="annotation reference"/>
    <w:basedOn w:val="DefaultParagraphFont"/>
    <w:uiPriority w:val="99"/>
    <w:semiHidden/>
    <w:unhideWhenUsed/>
    <w:rsid w:val="00B32B2B"/>
    <w:rPr>
      <w:sz w:val="16"/>
      <w:szCs w:val="16"/>
    </w:rPr>
  </w:style>
  <w:style w:type="paragraph" w:styleId="CommentText">
    <w:name w:val="annotation text"/>
    <w:basedOn w:val="Normal"/>
    <w:link w:val="CommentTextChar"/>
    <w:uiPriority w:val="99"/>
    <w:semiHidden/>
    <w:unhideWhenUsed/>
    <w:rsid w:val="00B32B2B"/>
    <w:pPr>
      <w:spacing w:line="240" w:lineRule="auto"/>
    </w:pPr>
    <w:rPr>
      <w:sz w:val="20"/>
      <w:szCs w:val="20"/>
    </w:rPr>
  </w:style>
  <w:style w:type="character" w:customStyle="1" w:styleId="CommentTextChar">
    <w:name w:val="Comment Text Char"/>
    <w:basedOn w:val="DefaultParagraphFont"/>
    <w:link w:val="CommentText"/>
    <w:uiPriority w:val="99"/>
    <w:semiHidden/>
    <w:rsid w:val="00B32B2B"/>
    <w:rPr>
      <w:sz w:val="20"/>
      <w:szCs w:val="20"/>
    </w:rPr>
  </w:style>
  <w:style w:type="paragraph" w:styleId="CommentSubject">
    <w:name w:val="annotation subject"/>
    <w:basedOn w:val="CommentText"/>
    <w:next w:val="CommentText"/>
    <w:link w:val="CommentSubjectChar"/>
    <w:uiPriority w:val="99"/>
    <w:semiHidden/>
    <w:unhideWhenUsed/>
    <w:rsid w:val="00B32B2B"/>
    <w:rPr>
      <w:b/>
      <w:bCs/>
    </w:rPr>
  </w:style>
  <w:style w:type="character" w:customStyle="1" w:styleId="CommentSubjectChar">
    <w:name w:val="Comment Subject Char"/>
    <w:basedOn w:val="CommentTextChar"/>
    <w:link w:val="CommentSubject"/>
    <w:uiPriority w:val="99"/>
    <w:semiHidden/>
    <w:rsid w:val="00B32B2B"/>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2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5816"/>
    <w:rPr>
      <w:color w:val="0000FF" w:themeColor="hyperlink"/>
      <w:u w:val="single"/>
    </w:rPr>
  </w:style>
  <w:style w:type="paragraph" w:styleId="BalloonText">
    <w:name w:val="Balloon Text"/>
    <w:basedOn w:val="Normal"/>
    <w:link w:val="BalloonTextChar"/>
    <w:uiPriority w:val="99"/>
    <w:semiHidden/>
    <w:unhideWhenUsed/>
    <w:rsid w:val="002835A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35A7"/>
    <w:rPr>
      <w:rFonts w:ascii="Lucida Grande" w:hAnsi="Lucida Grande" w:cs="Lucida Grande"/>
      <w:sz w:val="18"/>
      <w:szCs w:val="18"/>
    </w:rPr>
  </w:style>
  <w:style w:type="paragraph" w:styleId="ListParagraph">
    <w:name w:val="List Paragraph"/>
    <w:basedOn w:val="Normal"/>
    <w:uiPriority w:val="34"/>
    <w:qFormat/>
    <w:rsid w:val="009969A4"/>
    <w:pPr>
      <w:ind w:left="720"/>
      <w:contextualSpacing/>
    </w:pPr>
  </w:style>
  <w:style w:type="character" w:styleId="CommentReference">
    <w:name w:val="annotation reference"/>
    <w:basedOn w:val="DefaultParagraphFont"/>
    <w:uiPriority w:val="99"/>
    <w:semiHidden/>
    <w:unhideWhenUsed/>
    <w:rsid w:val="00B32B2B"/>
    <w:rPr>
      <w:sz w:val="16"/>
      <w:szCs w:val="16"/>
    </w:rPr>
  </w:style>
  <w:style w:type="paragraph" w:styleId="CommentText">
    <w:name w:val="annotation text"/>
    <w:basedOn w:val="Normal"/>
    <w:link w:val="CommentTextChar"/>
    <w:uiPriority w:val="99"/>
    <w:semiHidden/>
    <w:unhideWhenUsed/>
    <w:rsid w:val="00B32B2B"/>
    <w:pPr>
      <w:spacing w:line="240" w:lineRule="auto"/>
    </w:pPr>
    <w:rPr>
      <w:sz w:val="20"/>
      <w:szCs w:val="20"/>
    </w:rPr>
  </w:style>
  <w:style w:type="character" w:customStyle="1" w:styleId="CommentTextChar">
    <w:name w:val="Comment Text Char"/>
    <w:basedOn w:val="DefaultParagraphFont"/>
    <w:link w:val="CommentText"/>
    <w:uiPriority w:val="99"/>
    <w:semiHidden/>
    <w:rsid w:val="00B32B2B"/>
    <w:rPr>
      <w:sz w:val="20"/>
      <w:szCs w:val="20"/>
    </w:rPr>
  </w:style>
  <w:style w:type="paragraph" w:styleId="CommentSubject">
    <w:name w:val="annotation subject"/>
    <w:basedOn w:val="CommentText"/>
    <w:next w:val="CommentText"/>
    <w:link w:val="CommentSubjectChar"/>
    <w:uiPriority w:val="99"/>
    <w:semiHidden/>
    <w:unhideWhenUsed/>
    <w:rsid w:val="00B32B2B"/>
    <w:rPr>
      <w:b/>
      <w:bCs/>
    </w:rPr>
  </w:style>
  <w:style w:type="character" w:customStyle="1" w:styleId="CommentSubjectChar">
    <w:name w:val="Comment Subject Char"/>
    <w:basedOn w:val="CommentTextChar"/>
    <w:link w:val="CommentSubject"/>
    <w:uiPriority w:val="99"/>
    <w:semiHidden/>
    <w:rsid w:val="00B32B2B"/>
    <w:rPr>
      <w:b/>
      <w:bCs/>
      <w:sz w:val="20"/>
      <w:szCs w:val="20"/>
    </w:rPr>
  </w:style>
</w:styles>
</file>

<file path=word/webSettings.xml><?xml version="1.0" encoding="utf-8"?>
<w:webSettings xmlns:r="http://schemas.openxmlformats.org/officeDocument/2006/relationships" xmlns:w="http://schemas.openxmlformats.org/wordprocessingml/2006/main">
  <w:divs>
    <w:div w:id="594632975">
      <w:bodyDiv w:val="1"/>
      <w:marLeft w:val="0"/>
      <w:marRight w:val="0"/>
      <w:marTop w:val="0"/>
      <w:marBottom w:val="0"/>
      <w:divBdr>
        <w:top w:val="none" w:sz="0" w:space="0" w:color="auto"/>
        <w:left w:val="none" w:sz="0" w:space="0" w:color="auto"/>
        <w:bottom w:val="none" w:sz="0" w:space="0" w:color="auto"/>
        <w:right w:val="none" w:sz="0" w:space="0" w:color="auto"/>
      </w:divBdr>
    </w:div>
    <w:div w:id="1752853070">
      <w:bodyDiv w:val="1"/>
      <w:marLeft w:val="0"/>
      <w:marRight w:val="0"/>
      <w:marTop w:val="0"/>
      <w:marBottom w:val="0"/>
      <w:divBdr>
        <w:top w:val="none" w:sz="0" w:space="0" w:color="auto"/>
        <w:left w:val="none" w:sz="0" w:space="0" w:color="auto"/>
        <w:bottom w:val="none" w:sz="0" w:space="0" w:color="auto"/>
        <w:right w:val="none" w:sz="0" w:space="0" w:color="auto"/>
      </w:divBdr>
    </w:div>
    <w:div w:id="1899976539">
      <w:bodyDiv w:val="1"/>
      <w:marLeft w:val="0"/>
      <w:marRight w:val="0"/>
      <w:marTop w:val="0"/>
      <w:marBottom w:val="0"/>
      <w:divBdr>
        <w:top w:val="none" w:sz="0" w:space="0" w:color="auto"/>
        <w:left w:val="none" w:sz="0" w:space="0" w:color="auto"/>
        <w:bottom w:val="none" w:sz="0" w:space="0" w:color="auto"/>
        <w:right w:val="none" w:sz="0" w:space="0" w:color="auto"/>
      </w:divBdr>
    </w:div>
    <w:div w:id="1956716778">
      <w:bodyDiv w:val="1"/>
      <w:marLeft w:val="0"/>
      <w:marRight w:val="0"/>
      <w:marTop w:val="0"/>
      <w:marBottom w:val="0"/>
      <w:divBdr>
        <w:top w:val="none" w:sz="0" w:space="0" w:color="auto"/>
        <w:left w:val="none" w:sz="0" w:space="0" w:color="auto"/>
        <w:bottom w:val="none" w:sz="0" w:space="0" w:color="auto"/>
        <w:right w:val="none" w:sz="0" w:space="0" w:color="auto"/>
      </w:divBdr>
      <w:divsChild>
        <w:div w:id="626856037">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2035</Words>
  <Characters>10972</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Smith</dc:creator>
  <cp:lastModifiedBy>mlabriol</cp:lastModifiedBy>
  <cp:revision>5</cp:revision>
  <dcterms:created xsi:type="dcterms:W3CDTF">2012-12-18T22:22:00Z</dcterms:created>
  <dcterms:modified xsi:type="dcterms:W3CDTF">2012-12-18T23:21:00Z</dcterms:modified>
</cp:coreProperties>
</file>